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EFABC"/>
  <w:body>
    <w:p w14:paraId="7CF1995C" w14:textId="77777777" w:rsidR="00C13349" w:rsidRPr="00C13349" w:rsidRDefault="00C13349">
      <w:pPr>
        <w:rPr>
          <w:rFonts w:ascii="Arial" w:hAnsi="Arial" w:cs="Arial"/>
          <w:b/>
          <w:bCs/>
          <w:sz w:val="20"/>
          <w:szCs w:val="20"/>
        </w:rPr>
      </w:pPr>
      <w:r w:rsidRPr="00C13349">
        <w:rPr>
          <w:rFonts w:ascii="Arial" w:hAnsi="Arial" w:cs="Arial"/>
          <w:b/>
          <w:bCs/>
          <w:sz w:val="20"/>
          <w:szCs w:val="20"/>
        </w:rPr>
        <w:t>Tabla 1</w:t>
      </w:r>
    </w:p>
    <w:p w14:paraId="37B7A89B" w14:textId="77777777" w:rsidR="008C4C13" w:rsidRDefault="008C4C13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page" w:horzAnchor="margin" w:tblpXSpec="center" w:tblpY="2221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20"/>
        <w:gridCol w:w="3028"/>
        <w:gridCol w:w="1687"/>
        <w:gridCol w:w="598"/>
        <w:gridCol w:w="4117"/>
      </w:tblGrid>
      <w:tr w:rsidR="002E7172" w14:paraId="009E21CA" w14:textId="77777777" w:rsidTr="003614E0">
        <w:tc>
          <w:tcPr>
            <w:tcW w:w="488" w:type="pct"/>
          </w:tcPr>
          <w:p w14:paraId="097157A4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256" w:type="pct"/>
            <w:gridSpan w:val="2"/>
            <w:vAlign w:val="center"/>
          </w:tcPr>
          <w:p w14:paraId="47276383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Clases de moneda</w:t>
            </w:r>
          </w:p>
        </w:tc>
        <w:tc>
          <w:tcPr>
            <w:tcW w:w="2256" w:type="pct"/>
            <w:gridSpan w:val="2"/>
            <w:vAlign w:val="center"/>
          </w:tcPr>
          <w:p w14:paraId="5C3BE3C7" w14:textId="0CA23DBE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C10BDB" w14:paraId="6590086F" w14:textId="77777777" w:rsidTr="00C10BDB">
        <w:trPr>
          <w:cantSplit/>
          <w:trHeight w:val="570"/>
        </w:trPr>
        <w:tc>
          <w:tcPr>
            <w:tcW w:w="488" w:type="pct"/>
          </w:tcPr>
          <w:p w14:paraId="4D82E35A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Merge w:val="restart"/>
            <w:vAlign w:val="center"/>
          </w:tcPr>
          <w:p w14:paraId="3158CA8A" w14:textId="77777777" w:rsidR="00C10BDB" w:rsidRDefault="00C10BDB" w:rsidP="002E7172">
            <w:pPr>
              <w:pStyle w:val="Paratabla"/>
            </w:pPr>
            <w:r>
              <w:t>Según el material constitutivo</w:t>
            </w:r>
          </w:p>
        </w:tc>
        <w:tc>
          <w:tcPr>
            <w:tcW w:w="1093" w:type="pct"/>
            <w:gridSpan w:val="2"/>
            <w:vAlign w:val="center"/>
          </w:tcPr>
          <w:p w14:paraId="365EE314" w14:textId="77777777" w:rsidR="00C10BDB" w:rsidRDefault="00C10BDB" w:rsidP="002E71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Moneda metálica o moneda tipo</w:t>
            </w:r>
          </w:p>
        </w:tc>
        <w:tc>
          <w:tcPr>
            <w:tcW w:w="1970" w:type="pct"/>
            <w:vAlign w:val="center"/>
          </w:tcPr>
          <w:p w14:paraId="713A5306" w14:textId="4E4E7F40" w:rsidR="00C10BDB" w:rsidRDefault="00C10BDB" w:rsidP="002E7172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Está acuñada en material precioso Su valor extrínseco es prácticamente igual a su valor intrínseco</w:t>
            </w:r>
          </w:p>
        </w:tc>
      </w:tr>
      <w:tr w:rsidR="00C10BDB" w14:paraId="3ABAAF87" w14:textId="77777777" w:rsidTr="00C10BDB">
        <w:trPr>
          <w:cantSplit/>
          <w:trHeight w:val="428"/>
        </w:trPr>
        <w:tc>
          <w:tcPr>
            <w:tcW w:w="488" w:type="pct"/>
          </w:tcPr>
          <w:p w14:paraId="61A082E2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Merge/>
            <w:vAlign w:val="center"/>
          </w:tcPr>
          <w:p w14:paraId="65C9FBE7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93" w:type="pct"/>
            <w:gridSpan w:val="2"/>
            <w:vMerge w:val="restart"/>
            <w:vAlign w:val="center"/>
          </w:tcPr>
          <w:p w14:paraId="10D1CB07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De vellón o subsidiaria</w:t>
            </w:r>
          </w:p>
        </w:tc>
        <w:tc>
          <w:tcPr>
            <w:tcW w:w="1970" w:type="pct"/>
            <w:vMerge w:val="restart"/>
            <w:vAlign w:val="center"/>
          </w:tcPr>
          <w:p w14:paraId="5B66738E" w14:textId="106598B9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Está constituida por aleaciones de metales no preciosos</w:t>
            </w:r>
          </w:p>
          <w:p w14:paraId="046BE847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 valor extrínseco es superior a su valor como metal</w:t>
            </w:r>
          </w:p>
        </w:tc>
      </w:tr>
      <w:tr w:rsidR="00C10BDB" w14:paraId="6DACCA94" w14:textId="77777777" w:rsidTr="00C10BDB">
        <w:trPr>
          <w:cantSplit/>
          <w:trHeight w:val="508"/>
        </w:trPr>
        <w:tc>
          <w:tcPr>
            <w:tcW w:w="488" w:type="pct"/>
          </w:tcPr>
          <w:p w14:paraId="26ECAFAD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Merge/>
            <w:vAlign w:val="center"/>
          </w:tcPr>
          <w:p w14:paraId="611C4D52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93" w:type="pct"/>
            <w:gridSpan w:val="2"/>
            <w:vMerge/>
            <w:vAlign w:val="center"/>
          </w:tcPr>
          <w:p w14:paraId="15CF3BF3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70" w:type="pct"/>
            <w:vMerge/>
            <w:vAlign w:val="center"/>
          </w:tcPr>
          <w:p w14:paraId="4A3BA81A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10BDB" w14:paraId="2D5D83E9" w14:textId="77777777" w:rsidTr="00C10BDB">
        <w:trPr>
          <w:cantSplit/>
          <w:trHeight w:val="374"/>
        </w:trPr>
        <w:tc>
          <w:tcPr>
            <w:tcW w:w="488" w:type="pct"/>
          </w:tcPr>
          <w:p w14:paraId="18E48781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Merge/>
            <w:vAlign w:val="center"/>
          </w:tcPr>
          <w:p w14:paraId="122F1D88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93" w:type="pct"/>
            <w:gridSpan w:val="2"/>
            <w:vMerge w:val="restart"/>
            <w:vAlign w:val="center"/>
          </w:tcPr>
          <w:p w14:paraId="348CB0B1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Billetes de papel</w:t>
            </w:r>
          </w:p>
        </w:tc>
        <w:tc>
          <w:tcPr>
            <w:tcW w:w="1970" w:type="pct"/>
            <w:vMerge w:val="restart"/>
            <w:vAlign w:val="center"/>
          </w:tcPr>
          <w:p w14:paraId="14633851" w14:textId="51C320EC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 lugar de utilizar metales, se utiliza papel</w:t>
            </w:r>
          </w:p>
          <w:p w14:paraId="3D742FE0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Hay dos clases: moneda de papel y papel moneda</w:t>
            </w:r>
          </w:p>
        </w:tc>
      </w:tr>
      <w:tr w:rsidR="00C10BDB" w14:paraId="32A15893" w14:textId="77777777" w:rsidTr="00C10BDB">
        <w:trPr>
          <w:cantSplit/>
          <w:trHeight w:val="420"/>
        </w:trPr>
        <w:tc>
          <w:tcPr>
            <w:tcW w:w="488" w:type="pct"/>
          </w:tcPr>
          <w:p w14:paraId="779A4BD2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Merge/>
            <w:vAlign w:val="center"/>
          </w:tcPr>
          <w:p w14:paraId="755BB0BF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93" w:type="pct"/>
            <w:gridSpan w:val="2"/>
            <w:vMerge/>
            <w:vAlign w:val="center"/>
          </w:tcPr>
          <w:p w14:paraId="59987A29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70" w:type="pct"/>
            <w:vMerge/>
            <w:vAlign w:val="center"/>
          </w:tcPr>
          <w:p w14:paraId="49934A97" w14:textId="77777777" w:rsidR="00C10BDB" w:rsidRDefault="00C10BDB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E7172" w14:paraId="3E61F1DF" w14:textId="77777777" w:rsidTr="00C10BDB">
        <w:trPr>
          <w:cantSplit/>
          <w:trHeight w:val="801"/>
        </w:trPr>
        <w:tc>
          <w:tcPr>
            <w:tcW w:w="488" w:type="pct"/>
          </w:tcPr>
          <w:p w14:paraId="72CFD172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Align w:val="center"/>
          </w:tcPr>
          <w:p w14:paraId="29A2FEA6" w14:textId="77777777" w:rsidR="002E7172" w:rsidRDefault="002E7172" w:rsidP="002E7172">
            <w:pPr>
              <w:pStyle w:val="Paratabla"/>
            </w:pPr>
            <w:r>
              <w:t>Según su convertibilidad</w:t>
            </w:r>
          </w:p>
        </w:tc>
        <w:tc>
          <w:tcPr>
            <w:tcW w:w="1093" w:type="pct"/>
            <w:gridSpan w:val="2"/>
            <w:vAlign w:val="center"/>
          </w:tcPr>
          <w:p w14:paraId="6D0FE012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Moneda de papel</w:t>
            </w:r>
            <w:r>
              <w:rPr>
                <w:rFonts w:ascii="Arial" w:hAnsi="Arial" w:cs="Arial"/>
                <w:i/>
                <w:iCs/>
                <w:sz w:val="18"/>
              </w:rPr>
              <w:t>:</w:t>
            </w:r>
          </w:p>
        </w:tc>
        <w:tc>
          <w:tcPr>
            <w:tcW w:w="1970" w:type="pct"/>
            <w:vAlign w:val="center"/>
          </w:tcPr>
          <w:p w14:paraId="15141478" w14:textId="5CA4D75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Es convertible</w:t>
            </w:r>
          </w:p>
        </w:tc>
      </w:tr>
      <w:tr w:rsidR="002E7172" w14:paraId="4E63062A" w14:textId="77777777" w:rsidTr="00C10BDB">
        <w:trPr>
          <w:cantSplit/>
          <w:trHeight w:val="751"/>
        </w:trPr>
        <w:tc>
          <w:tcPr>
            <w:tcW w:w="488" w:type="pct"/>
          </w:tcPr>
          <w:p w14:paraId="4E88CD48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Align w:val="center"/>
          </w:tcPr>
          <w:p w14:paraId="713811C1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93" w:type="pct"/>
            <w:gridSpan w:val="2"/>
            <w:vAlign w:val="center"/>
          </w:tcPr>
          <w:p w14:paraId="0F0E07B6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Papel moneda</w:t>
            </w:r>
          </w:p>
        </w:tc>
        <w:tc>
          <w:tcPr>
            <w:tcW w:w="1970" w:type="pct"/>
            <w:vAlign w:val="center"/>
          </w:tcPr>
          <w:p w14:paraId="284A887E" w14:textId="6410DA3A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 es convertible</w:t>
            </w:r>
          </w:p>
        </w:tc>
      </w:tr>
      <w:tr w:rsidR="002E7172" w14:paraId="2A076311" w14:textId="77777777" w:rsidTr="00C10BDB">
        <w:trPr>
          <w:cantSplit/>
          <w:trHeight w:val="898"/>
        </w:trPr>
        <w:tc>
          <w:tcPr>
            <w:tcW w:w="488" w:type="pct"/>
          </w:tcPr>
          <w:p w14:paraId="47F06288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Align w:val="center"/>
          </w:tcPr>
          <w:p w14:paraId="6C00DD1C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93" w:type="pct"/>
            <w:gridSpan w:val="2"/>
            <w:vAlign w:val="center"/>
          </w:tcPr>
          <w:p w14:paraId="782F75FA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970" w:type="pct"/>
            <w:vAlign w:val="center"/>
          </w:tcPr>
          <w:p w14:paraId="4FCDECEF" w14:textId="422B1E00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2E7172" w14:paraId="0240B6C6" w14:textId="77777777" w:rsidTr="00C10BDB">
        <w:trPr>
          <w:cantSplit/>
          <w:trHeight w:val="898"/>
        </w:trPr>
        <w:tc>
          <w:tcPr>
            <w:tcW w:w="488" w:type="pct"/>
          </w:tcPr>
          <w:p w14:paraId="78705FA2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Align w:val="center"/>
          </w:tcPr>
          <w:p w14:paraId="0A11CF9A" w14:textId="77777777" w:rsidR="002E7172" w:rsidRDefault="002E7172" w:rsidP="002E7172">
            <w:pPr>
              <w:pStyle w:val="Paratabla"/>
            </w:pPr>
            <w:r>
              <w:t>Según la razón de su existencia</w:t>
            </w:r>
          </w:p>
        </w:tc>
        <w:tc>
          <w:tcPr>
            <w:tcW w:w="1093" w:type="pct"/>
            <w:gridSpan w:val="2"/>
            <w:vAlign w:val="center"/>
          </w:tcPr>
          <w:p w14:paraId="68560343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Moneda real</w:t>
            </w:r>
          </w:p>
        </w:tc>
        <w:tc>
          <w:tcPr>
            <w:tcW w:w="1970" w:type="pct"/>
            <w:vAlign w:val="center"/>
          </w:tcPr>
          <w:p w14:paraId="46C803A5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Del país y que son utilizados en las transacciones</w:t>
            </w:r>
          </w:p>
        </w:tc>
      </w:tr>
      <w:tr w:rsidR="002E7172" w14:paraId="3D274C5F" w14:textId="77777777" w:rsidTr="00C10BDB">
        <w:trPr>
          <w:cantSplit/>
          <w:trHeight w:val="839"/>
        </w:trPr>
        <w:tc>
          <w:tcPr>
            <w:tcW w:w="488" w:type="pct"/>
          </w:tcPr>
          <w:p w14:paraId="07B077A4" w14:textId="77777777" w:rsidR="002E7172" w:rsidRDefault="002E7172" w:rsidP="002E717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449" w:type="pct"/>
            <w:vAlign w:val="center"/>
          </w:tcPr>
          <w:p w14:paraId="17EA7A6B" w14:textId="77777777" w:rsidR="002E7172" w:rsidRDefault="002E7172" w:rsidP="002E717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1093" w:type="pct"/>
            <w:gridSpan w:val="2"/>
            <w:vAlign w:val="center"/>
          </w:tcPr>
          <w:p w14:paraId="196708F2" w14:textId="77777777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• </w:t>
            </w:r>
            <w:r>
              <w:rPr>
                <w:rFonts w:ascii="Arial" w:hAnsi="Arial" w:cs="Arial"/>
                <w:b/>
                <w:bCs/>
                <w:sz w:val="18"/>
              </w:rPr>
              <w:t>Moneda ideal o de cuenta</w:t>
            </w:r>
          </w:p>
        </w:tc>
        <w:tc>
          <w:tcPr>
            <w:tcW w:w="1970" w:type="pct"/>
            <w:vAlign w:val="center"/>
          </w:tcPr>
          <w:p w14:paraId="20CEEB58" w14:textId="405F8346" w:rsidR="002E7172" w:rsidRDefault="002E7172" w:rsidP="002E71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Como medida de valor en ciertas circunstancias</w:t>
            </w:r>
          </w:p>
        </w:tc>
      </w:tr>
    </w:tbl>
    <w:p w14:paraId="7E1EE978" w14:textId="0B2AB9EC" w:rsidR="008C4C13" w:rsidRDefault="005F016F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ED97957" wp14:editId="520FD1D2">
            <wp:simplePos x="0" y="0"/>
            <wp:positionH relativeFrom="margin">
              <wp:align>right</wp:align>
            </wp:positionH>
            <wp:positionV relativeFrom="paragraph">
              <wp:posOffset>5213350</wp:posOffset>
            </wp:positionV>
            <wp:extent cx="2159635" cy="2159635"/>
            <wp:effectExtent l="0" t="0" r="0" b="0"/>
            <wp:wrapNone/>
            <wp:docPr id="156585194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215963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4C13">
        <w:rPr>
          <w:rFonts w:ascii="Arial" w:hAnsi="Arial" w:cs="Arial"/>
          <w:b/>
          <w:bCs/>
          <w:sz w:val="20"/>
          <w:szCs w:val="20"/>
        </w:rPr>
        <w:br w:type="page"/>
      </w:r>
    </w:p>
    <w:p w14:paraId="0364884F" w14:textId="77777777" w:rsidR="002E7172" w:rsidRDefault="002E7172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</w:p>
    <w:p w14:paraId="0E2C7A3B" w14:textId="20E44F2C" w:rsidR="002603D6" w:rsidRPr="00C13349" w:rsidRDefault="002603D6" w:rsidP="002603D6">
      <w:pPr>
        <w:rPr>
          <w:rFonts w:ascii="Arial" w:hAnsi="Arial" w:cs="Arial"/>
          <w:b/>
          <w:bCs/>
          <w:sz w:val="20"/>
          <w:szCs w:val="20"/>
        </w:rPr>
      </w:pPr>
      <w:r w:rsidRPr="00C13349">
        <w:rPr>
          <w:rFonts w:ascii="Arial" w:hAnsi="Arial" w:cs="Arial"/>
          <w:b/>
          <w:bCs/>
          <w:sz w:val="20"/>
          <w:szCs w:val="20"/>
        </w:rPr>
        <w:t xml:space="preserve">Tabla </w:t>
      </w:r>
      <w:r>
        <w:rPr>
          <w:rFonts w:ascii="Arial" w:hAnsi="Arial" w:cs="Arial"/>
          <w:b/>
          <w:bCs/>
          <w:sz w:val="20"/>
          <w:szCs w:val="20"/>
        </w:rPr>
        <w:t>2</w:t>
      </w:r>
    </w:p>
    <w:p w14:paraId="677B196E" w14:textId="77777777" w:rsidR="00894707" w:rsidRDefault="00894707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page" w:horzAnchor="margin" w:tblpY="1591"/>
        <w:tblW w:w="1037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"/>
        <w:gridCol w:w="704"/>
        <w:gridCol w:w="1040"/>
        <w:gridCol w:w="3597"/>
        <w:gridCol w:w="4423"/>
      </w:tblGrid>
      <w:tr w:rsidR="002603D6" w:rsidRPr="006B315A" w14:paraId="2017AAF9" w14:textId="77777777" w:rsidTr="00FB6F78">
        <w:trPr>
          <w:trHeight w:val="20"/>
        </w:trPr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0A20CA" w14:textId="77777777" w:rsidR="002603D6" w:rsidRPr="006B315A" w:rsidRDefault="002603D6" w:rsidP="00FB6F78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Energía 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98AA3F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C7E398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Para trasladarse 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72F43F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Caminar </w:t>
            </w:r>
          </w:p>
          <w:p w14:paraId="6A10C6F0" w14:textId="7183DB0C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Utilizar </w:t>
            </w:r>
            <w:r w:rsidR="0047280C" w:rsidRPr="006B315A">
              <w:rPr>
                <w:rFonts w:cstheme="minorHAnsi"/>
              </w:rPr>
              <w:t>transporte publico</w:t>
            </w:r>
          </w:p>
          <w:p w14:paraId="20ACCBEB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Hacer uso de la Bicicleta </w:t>
            </w:r>
          </w:p>
        </w:tc>
      </w:tr>
      <w:tr w:rsidR="002603D6" w:rsidRPr="006B315A" w14:paraId="5BBEFC3B" w14:textId="77777777" w:rsidTr="00FB6F78">
        <w:trPr>
          <w:trHeight w:val="20"/>
        </w:trPr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06D990" w14:textId="77777777" w:rsidR="002603D6" w:rsidRPr="006B315A" w:rsidRDefault="002603D6" w:rsidP="00FB6F78">
            <w:pPr>
              <w:rPr>
                <w:rFonts w:cstheme="minorHAnsi"/>
              </w:rPr>
            </w:pPr>
          </w:p>
        </w:tc>
        <w:tc>
          <w:tcPr>
            <w:tcW w:w="70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CD5519C" w14:textId="77777777" w:rsidR="002603D6" w:rsidRPr="006B315A" w:rsidRDefault="002603D6" w:rsidP="00FB6F78">
            <w:pPr>
              <w:rPr>
                <w:rFonts w:cstheme="minorHAnsi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A8C7E1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08E678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Apagar cuando no están en uso 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7E5A5E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Computadoras</w:t>
            </w:r>
          </w:p>
          <w:p w14:paraId="565D9AA5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Luces</w:t>
            </w:r>
          </w:p>
          <w:p w14:paraId="60028541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Televisores </w:t>
            </w:r>
          </w:p>
        </w:tc>
      </w:tr>
      <w:tr w:rsidR="002603D6" w:rsidRPr="006B315A" w14:paraId="007F5EA0" w14:textId="77777777" w:rsidTr="00FB6F78">
        <w:trPr>
          <w:trHeight w:val="593"/>
        </w:trPr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DF59AC" w14:textId="77777777" w:rsidR="002603D6" w:rsidRPr="006B315A" w:rsidRDefault="002603D6" w:rsidP="00FB6F78">
            <w:pPr>
              <w:rPr>
                <w:rFonts w:cstheme="minorHAnsi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7FE716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D11B66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Usar fuentes de energía renovables 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14DAD1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Solar</w:t>
            </w:r>
          </w:p>
          <w:p w14:paraId="1C1B57B3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Eólica</w:t>
            </w:r>
          </w:p>
          <w:p w14:paraId="60002459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Hidroeléctrica </w:t>
            </w:r>
          </w:p>
        </w:tc>
      </w:tr>
      <w:tr w:rsidR="002603D6" w:rsidRPr="006B315A" w14:paraId="31C91D07" w14:textId="77777777" w:rsidTr="00FB6F78">
        <w:trPr>
          <w:trHeight w:val="20"/>
        </w:trPr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5DD001" w14:textId="77777777" w:rsidR="002603D6" w:rsidRPr="006B315A" w:rsidRDefault="002603D6" w:rsidP="00FB6F78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Agua</w:t>
            </w:r>
            <w:r w:rsidRPr="006B315A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0192D3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6A938A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Para regar usar 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AAE023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Sistemas de irrigación eficientes</w:t>
            </w:r>
          </w:p>
          <w:p w14:paraId="3F6571BC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Agua gris </w:t>
            </w:r>
          </w:p>
        </w:tc>
      </w:tr>
      <w:tr w:rsidR="002603D6" w:rsidRPr="006B315A" w14:paraId="5814E00F" w14:textId="77777777" w:rsidTr="00FB6F78">
        <w:trPr>
          <w:trHeight w:val="20"/>
        </w:trPr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6B6652" w14:textId="77777777" w:rsidR="002603D6" w:rsidRPr="006B315A" w:rsidRDefault="002603D6" w:rsidP="00FB6F78">
            <w:pPr>
              <w:rPr>
                <w:rFonts w:cstheme="minorHAnsi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4103EC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404E0E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FF0FFA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</w:tr>
      <w:tr w:rsidR="002603D6" w:rsidRPr="006B315A" w14:paraId="6A45FE7B" w14:textId="77777777" w:rsidTr="00FB6F78">
        <w:trPr>
          <w:trHeight w:val="788"/>
        </w:trPr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E4820E" w14:textId="77777777" w:rsidR="002603D6" w:rsidRPr="006B315A" w:rsidRDefault="002603D6" w:rsidP="00FB6F78">
            <w:pPr>
              <w:rPr>
                <w:rFonts w:cstheme="minorHAnsi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5E2E6C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27CF30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Chequear pérdidas en 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4411C5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Canillas</w:t>
            </w:r>
          </w:p>
          <w:p w14:paraId="306A8849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Depósitos de baños</w:t>
            </w:r>
          </w:p>
          <w:p w14:paraId="01FB2A92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Cañerías</w:t>
            </w:r>
          </w:p>
          <w:p w14:paraId="1B9CD28C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 </w:t>
            </w:r>
          </w:p>
        </w:tc>
      </w:tr>
      <w:tr w:rsidR="002603D6" w:rsidRPr="006B315A" w14:paraId="3263F197" w14:textId="77777777" w:rsidTr="00FB6F78">
        <w:trPr>
          <w:trHeight w:val="20"/>
        </w:trPr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409951" w14:textId="77777777" w:rsidR="002603D6" w:rsidRPr="006B315A" w:rsidRDefault="002603D6" w:rsidP="00FB6F78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>Basura</w:t>
            </w:r>
            <w:r w:rsidRPr="006B315A">
              <w:rPr>
                <w:rFonts w:cstheme="minorHAnsi"/>
                <w:b/>
                <w:bCs/>
              </w:rPr>
              <w:t xml:space="preserve"> </w:t>
            </w: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4669BB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52F258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Prevención 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27D16A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Disminuir el packaging </w:t>
            </w:r>
          </w:p>
          <w:p w14:paraId="6699B93B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Usar envases retornable </w:t>
            </w:r>
          </w:p>
        </w:tc>
      </w:tr>
      <w:tr w:rsidR="002603D6" w:rsidRPr="006B315A" w14:paraId="4648BC68" w14:textId="77777777" w:rsidTr="00FB6F78">
        <w:trPr>
          <w:trHeight w:val="20"/>
        </w:trPr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37E993" w14:textId="77777777" w:rsidR="002603D6" w:rsidRPr="006B315A" w:rsidRDefault="002603D6" w:rsidP="00FB6F78">
            <w:pPr>
              <w:rPr>
                <w:rFonts w:cstheme="minorHAnsi"/>
              </w:rPr>
            </w:pPr>
          </w:p>
        </w:tc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087D53" w14:textId="77777777" w:rsidR="002603D6" w:rsidRPr="006B315A" w:rsidRDefault="002603D6" w:rsidP="002603D6">
            <w:pPr>
              <w:rPr>
                <w:rFonts w:cstheme="minorHAnsi"/>
              </w:rPr>
            </w:pPr>
          </w:p>
        </w:tc>
        <w:tc>
          <w:tcPr>
            <w:tcW w:w="3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BCB995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Tratamiento </w:t>
            </w:r>
          </w:p>
        </w:tc>
        <w:tc>
          <w:tcPr>
            <w:tcW w:w="4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288090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Reciclado </w:t>
            </w:r>
          </w:p>
          <w:p w14:paraId="5ED902AE" w14:textId="77777777" w:rsidR="002603D6" w:rsidRPr="006B315A" w:rsidRDefault="002603D6" w:rsidP="002603D6">
            <w:pPr>
              <w:rPr>
                <w:rFonts w:cstheme="minorHAnsi"/>
              </w:rPr>
            </w:pPr>
            <w:r w:rsidRPr="006B315A">
              <w:rPr>
                <w:rFonts w:cstheme="minorHAnsi"/>
              </w:rPr>
              <w:t xml:space="preserve">Incineración con recuperación de energía </w:t>
            </w:r>
          </w:p>
        </w:tc>
      </w:tr>
    </w:tbl>
    <w:p w14:paraId="18BDBE70" w14:textId="1DC60DE5" w:rsidR="00894707" w:rsidRDefault="00E13D9D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  <w:r w:rsidRPr="001A4B66">
        <w:rPr>
          <w:rFonts w:ascii="Arial" w:hAnsi="Arial" w:cs="Arial"/>
          <w:b/>
          <w:bCs/>
          <w:noProof/>
          <w:sz w:val="20"/>
          <w:szCs w:val="20"/>
          <w:lang w:val="es-AR"/>
        </w:rPr>
        <w:drawing>
          <wp:anchor distT="0" distB="0" distL="114300" distR="114300" simplePos="0" relativeHeight="251659264" behindDoc="0" locked="0" layoutInCell="1" allowOverlap="1" wp14:anchorId="0E1F6C90" wp14:editId="625824BB">
            <wp:simplePos x="0" y="0"/>
            <wp:positionH relativeFrom="column">
              <wp:posOffset>4419600</wp:posOffset>
            </wp:positionH>
            <wp:positionV relativeFrom="paragraph">
              <wp:posOffset>12700</wp:posOffset>
            </wp:positionV>
            <wp:extent cx="1524000" cy="1524000"/>
            <wp:effectExtent l="0" t="0" r="0" b="0"/>
            <wp:wrapNone/>
            <wp:docPr id="208267942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9492B2" w14:textId="50958DBD" w:rsidR="001A4B66" w:rsidRPr="001A4B66" w:rsidRDefault="001A4B66" w:rsidP="001A4B66">
      <w:pPr>
        <w:spacing w:after="160" w:line="278" w:lineRule="auto"/>
        <w:rPr>
          <w:rFonts w:ascii="Arial" w:hAnsi="Arial" w:cs="Arial"/>
          <w:b/>
          <w:bCs/>
          <w:sz w:val="20"/>
          <w:szCs w:val="20"/>
          <w:lang w:val="es-AR"/>
        </w:rPr>
      </w:pPr>
    </w:p>
    <w:p w14:paraId="1CE6AF1A" w14:textId="5F88CA4E" w:rsidR="00894707" w:rsidRDefault="00894707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</w:p>
    <w:p w14:paraId="778A14DF" w14:textId="77777777" w:rsidR="00894707" w:rsidRDefault="00894707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</w:p>
    <w:p w14:paraId="1352CD26" w14:textId="77777777" w:rsidR="00894707" w:rsidRDefault="00894707">
      <w:pPr>
        <w:spacing w:after="160" w:line="278" w:lineRule="auto"/>
        <w:rPr>
          <w:rFonts w:ascii="Arial" w:hAnsi="Arial" w:cs="Arial"/>
          <w:b/>
          <w:bCs/>
          <w:sz w:val="20"/>
          <w:szCs w:val="20"/>
        </w:rPr>
      </w:pPr>
    </w:p>
    <w:p w14:paraId="7438F666" w14:textId="4FEF3048" w:rsidR="00C13349" w:rsidRPr="00C13349" w:rsidRDefault="00C13349">
      <w:pPr>
        <w:rPr>
          <w:rFonts w:ascii="Arial" w:hAnsi="Arial" w:cs="Arial"/>
          <w:b/>
          <w:bCs/>
          <w:sz w:val="20"/>
          <w:szCs w:val="20"/>
        </w:rPr>
      </w:pPr>
    </w:p>
    <w:sectPr w:rsidR="00C13349" w:rsidRPr="00C13349" w:rsidSect="0047280C">
      <w:pgSz w:w="11906" w:h="16838"/>
      <w:pgMar w:top="720" w:right="720" w:bottom="720" w:left="720" w:header="708" w:footer="708" w:gutter="0"/>
      <w:pgBorders w:offsetFrom="page">
        <w:top w:val="ovals" w:sz="10" w:space="24" w:color="70AD47" w:themeColor="accent6"/>
        <w:bottom w:val="ovals" w:sz="10" w:space="24" w:color="70AD47" w:themeColor="accent6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1D3C9F"/>
    <w:multiLevelType w:val="hybridMultilevel"/>
    <w:tmpl w:val="63482756"/>
    <w:lvl w:ilvl="0" w:tplc="8FAE6ACA">
      <w:start w:val="1"/>
      <w:numFmt w:val="bullet"/>
      <w:lvlText w:val=""/>
      <w:lvlJc w:val="left"/>
      <w:pPr>
        <w:ind w:left="720" w:hanging="360"/>
      </w:pPr>
      <w:rPr>
        <w:rFonts w:ascii="Webdings" w:hAnsi="Webdings" w:hint="default"/>
        <w:color w:val="00B050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14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349"/>
    <w:rsid w:val="000E42D8"/>
    <w:rsid w:val="001117E6"/>
    <w:rsid w:val="001A4B66"/>
    <w:rsid w:val="002603D6"/>
    <w:rsid w:val="002E7172"/>
    <w:rsid w:val="003614E0"/>
    <w:rsid w:val="0047280C"/>
    <w:rsid w:val="004E5D4A"/>
    <w:rsid w:val="004F3681"/>
    <w:rsid w:val="0052272C"/>
    <w:rsid w:val="005F016F"/>
    <w:rsid w:val="0064580C"/>
    <w:rsid w:val="006D7EF9"/>
    <w:rsid w:val="00894707"/>
    <w:rsid w:val="008C4C13"/>
    <w:rsid w:val="00927E2C"/>
    <w:rsid w:val="00C10BDB"/>
    <w:rsid w:val="00C13349"/>
    <w:rsid w:val="00E13D9D"/>
    <w:rsid w:val="00ED12E9"/>
    <w:rsid w:val="00FB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ddffec,#c5f789,#defabc"/>
      <o:colormenu v:ext="edit" fillcolor="#defabc"/>
    </o:shapedefaults>
    <o:shapelayout v:ext="edit">
      <o:idmap v:ext="edit" data="1"/>
    </o:shapelayout>
  </w:shapeDefaults>
  <w:decimalSymbol w:val="."/>
  <w:listSeparator w:val=","/>
  <w14:docId w14:val="5AFB4649"/>
  <w15:chartTrackingRefBased/>
  <w15:docId w15:val="{080F0BE2-971E-445D-9250-4259DEA5F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349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133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133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133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133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133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133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133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133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133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33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133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133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1334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1334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1334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1334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1334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1334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133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133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133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133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133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1334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1334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1334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133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1334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13349"/>
    <w:rPr>
      <w:b/>
      <w:bCs/>
      <w:smallCaps/>
      <w:color w:val="2F5496" w:themeColor="accent1" w:themeShade="BF"/>
      <w:spacing w:val="5"/>
    </w:rPr>
  </w:style>
  <w:style w:type="paragraph" w:customStyle="1" w:styleId="Paratabla">
    <w:name w:val="Para tabla"/>
    <w:basedOn w:val="Normal"/>
    <w:rsid w:val="00C13349"/>
    <w:pPr>
      <w:autoSpaceDE w:val="0"/>
      <w:autoSpaceDN w:val="0"/>
      <w:adjustRightInd w:val="0"/>
      <w:jc w:val="center"/>
    </w:pPr>
    <w:rPr>
      <w:rFonts w:ascii="Comic Sans MS" w:hAnsi="Comic Sans MS" w:cs="Arial"/>
      <w:b/>
      <w:bCs/>
      <w:sz w:val="18"/>
    </w:rPr>
  </w:style>
  <w:style w:type="character" w:styleId="Hipervnculo">
    <w:name w:val="Hyperlink"/>
    <w:basedOn w:val="Fuentedeprrafopredeter"/>
    <w:uiPriority w:val="99"/>
    <w:rsid w:val="008C4C13"/>
    <w:rPr>
      <w:color w:val="0000FF"/>
      <w:u w:val="single"/>
    </w:rPr>
  </w:style>
  <w:style w:type="table" w:styleId="Tablaweb1">
    <w:name w:val="Table Web 1"/>
    <w:basedOn w:val="Tablanormal"/>
    <w:rsid w:val="008C4C1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AR"/>
      <w14:ligatures w14:val="none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194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</dc:creator>
  <cp:keywords/>
  <dc:description/>
  <cp:lastModifiedBy>moni</cp:lastModifiedBy>
  <cp:revision>18</cp:revision>
  <dcterms:created xsi:type="dcterms:W3CDTF">2026-05-28T21:36:00Z</dcterms:created>
  <dcterms:modified xsi:type="dcterms:W3CDTF">2026-05-29T17:34:00Z</dcterms:modified>
</cp:coreProperties>
</file>